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FA86" w14:textId="388033CF" w:rsidR="007D75CF" w:rsidRPr="00292B70" w:rsidRDefault="00292B70" w:rsidP="007D75CF">
      <w:pPr>
        <w:rPr>
          <w:b/>
          <w:bCs/>
          <w:lang w:val="sl-SI"/>
        </w:rPr>
      </w:pPr>
      <w:r w:rsidRPr="00292B70">
        <w:rPr>
          <w:b/>
          <w:bCs/>
          <w:lang w:val="sl-SI"/>
        </w:rPr>
        <w:t>PROTIDAMPIN</w:t>
      </w:r>
      <w:r w:rsidR="00EF0F21">
        <w:rPr>
          <w:b/>
          <w:bCs/>
          <w:lang w:val="sl-SI"/>
        </w:rPr>
        <w:t>G</w:t>
      </w:r>
      <w:r w:rsidRPr="00292B70">
        <w:rPr>
          <w:b/>
          <w:bCs/>
          <w:lang w:val="sl-SI"/>
        </w:rPr>
        <w:t xml:space="preserve"> – REGISTRACIJA UVOZA</w:t>
      </w:r>
    </w:p>
    <w:p w14:paraId="21055F5B" w14:textId="77777777" w:rsidR="00292B70" w:rsidRDefault="00292B70" w:rsidP="0063711D">
      <w:pPr>
        <w:spacing w:after="160" w:line="259" w:lineRule="auto"/>
        <w:jc w:val="both"/>
        <w:rPr>
          <w:rFonts w:ascii="ArialMT" w:eastAsia="Aptos" w:hAnsi="ArialMT"/>
          <w:color w:val="000000"/>
          <w:kern w:val="2"/>
          <w:szCs w:val="20"/>
          <w:lang w:val="sl-SI"/>
          <w14:ligatures w14:val="standardContextual"/>
        </w:rPr>
      </w:pPr>
    </w:p>
    <w:p w14:paraId="29A2FBD1" w14:textId="0381AE38"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Protidampinški ukrepi so instrumenti trgovinske zaščite, ki se uvedejo zaradi odpravljanja posledic nelojalne trgovinske prakse s strani tretjih držav. Zaradi večje učinkovitosti trgovinskih ukrepov je Komisija leta 2018 začela s postopki za hitrejšo uvedbo ukrepov in zaostrila pravila za sodelovanje v protidampinških preiskavah. V letu 2024 je sledila odločitev, da se že v zgodnji fazi novih protidampinških preiskav začne uporabljati ukrep registracije uvoza, ki je bi pred tem bolj izjema. S tem ukrepom naj bi se preprečilo izničenje učinkov dokončnih ukrepov zaradi povečanega uvoza v začetni fazi protidampinških postopkov.</w:t>
      </w:r>
    </w:p>
    <w:p w14:paraId="6CA33EE4" w14:textId="77777777"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Registracija uvoza je poseben protidampinški ukrep, ki v času veljavnosti nima neposrednega finančnega učinka, ki bi vodil v zavarovanje morebitnega carinskega dolga ali obračun dajatev, omogoča pa retroaktivno pobiranje protidampinških dajatev, kadar preiskava pokaže, da so za to izpolnjeni zakonski pogoji.</w:t>
      </w:r>
    </w:p>
    <w:p w14:paraId="4DB092FC" w14:textId="238D56B5"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Pravna podlaga za uvedbo ukrepa registracije uvoza je določena v osnovni </w:t>
      </w:r>
      <w:proofErr w:type="spellStart"/>
      <w:r w:rsidRPr="0063711D">
        <w:rPr>
          <w:rFonts w:ascii="ArialMT" w:eastAsia="Aptos" w:hAnsi="ArialMT"/>
          <w:color w:val="000000"/>
          <w:kern w:val="2"/>
          <w:szCs w:val="20"/>
          <w:lang w:val="sl-SI"/>
          <w14:ligatures w14:val="standardContextual"/>
        </w:rPr>
        <w:t>protidampinški</w:t>
      </w:r>
      <w:proofErr w:type="spellEnd"/>
      <w:r w:rsidRPr="0063711D">
        <w:rPr>
          <w:rFonts w:ascii="ArialMT" w:eastAsia="Aptos" w:hAnsi="ArialMT"/>
          <w:color w:val="000000"/>
          <w:kern w:val="2"/>
          <w:szCs w:val="20"/>
          <w:lang w:val="sl-SI"/>
          <w14:ligatures w14:val="standardContextual"/>
        </w:rPr>
        <w:t xml:space="preserve"> (</w:t>
      </w:r>
      <w:hyperlink r:id="rId8" w:history="1">
        <w:r w:rsidRPr="0063711D">
          <w:rPr>
            <w:rFonts w:ascii="ArialMT" w:eastAsia="Aptos" w:hAnsi="ArialMT"/>
            <w:color w:val="467886"/>
            <w:kern w:val="2"/>
            <w:szCs w:val="20"/>
            <w:u w:val="single"/>
            <w:lang w:val="sl-SI"/>
            <w14:ligatures w14:val="standardContextual"/>
          </w:rPr>
          <w:t>Uredba (EU) 2016/1036</w:t>
        </w:r>
      </w:hyperlink>
      <w:r w:rsidRPr="0063711D">
        <w:rPr>
          <w:rFonts w:ascii="ArialMT" w:eastAsia="Aptos" w:hAnsi="ArialMT"/>
          <w:color w:val="000000"/>
          <w:kern w:val="2"/>
          <w:szCs w:val="20"/>
          <w:lang w:val="sl-SI"/>
          <w14:ligatures w14:val="standardContextual"/>
        </w:rPr>
        <w:t xml:space="preserve">) in </w:t>
      </w:r>
      <w:proofErr w:type="spellStart"/>
      <w:r w:rsidRPr="0063711D">
        <w:rPr>
          <w:rFonts w:ascii="ArialMT" w:eastAsia="Aptos" w:hAnsi="ArialMT"/>
          <w:color w:val="000000"/>
          <w:kern w:val="2"/>
          <w:szCs w:val="20"/>
          <w:lang w:val="sl-SI"/>
          <w14:ligatures w14:val="standardContextual"/>
        </w:rPr>
        <w:t>protisubvencijski</w:t>
      </w:r>
      <w:proofErr w:type="spellEnd"/>
      <w:r w:rsidRPr="0063711D">
        <w:rPr>
          <w:rFonts w:ascii="ArialMT" w:eastAsia="Aptos" w:hAnsi="ArialMT"/>
          <w:color w:val="000000"/>
          <w:kern w:val="2"/>
          <w:szCs w:val="20"/>
          <w:lang w:val="sl-SI"/>
          <w14:ligatures w14:val="standardContextual"/>
        </w:rPr>
        <w:t xml:space="preserve"> uredbi (</w:t>
      </w:r>
      <w:hyperlink r:id="rId9" w:history="1">
        <w:r w:rsidRPr="0063711D">
          <w:rPr>
            <w:rFonts w:ascii="ArialMT" w:eastAsia="Aptos" w:hAnsi="ArialMT"/>
            <w:color w:val="467886"/>
            <w:kern w:val="2"/>
            <w:szCs w:val="20"/>
            <w:u w:val="single"/>
            <w:lang w:val="sl-SI"/>
            <w14:ligatures w14:val="standardContextual"/>
          </w:rPr>
          <w:t>Uredba (EU) 2016/1037</w:t>
        </w:r>
      </w:hyperlink>
      <w:r w:rsidRPr="0063711D">
        <w:rPr>
          <w:rFonts w:ascii="ArialMT" w:eastAsia="Aptos" w:hAnsi="ArialMT"/>
          <w:color w:val="000000"/>
          <w:kern w:val="2"/>
          <w:szCs w:val="20"/>
          <w:lang w:val="sl-SI"/>
          <w14:ligatures w14:val="standardContextual"/>
        </w:rPr>
        <w:t>). Od leta 2024 Komisija ukrep uporablja sistematično, kar potrjuje tudi dejstvo, da približno tretjina protidampinških uredb, sprejetih v letu 2025, že vključuje registracijo uvoza. Ukrep se je v večini primerov tudi zaključil z retroaktivnim pobiranjem dajatev. Takšen pristop Komisija napoveduje tudi za prihodnja leta.</w:t>
      </w:r>
    </w:p>
    <w:p w14:paraId="0A03A597" w14:textId="77777777"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Ukrep registracije uvoza začne veljati z objavo izvedbene uredbe v Uradnem listu EU (serija L) in je veljaven največ 9 mesecev. V času veljavnosti ukrepa višina protidampinških dajatev še ni določena. Uredbe, ki uvajajo ukrep registracije uvoza carinskim organom nalagajo obveznost evidentiranja zadevnih uvozov, za namen morebitnega retroaktivnega obračuna dajatev. Po objavi uredbe v uradnem listu Komisija integrira ukrep v brskalnik TARIC. Sam postopek registracije oziroma evidentiranja uvozov nato poteka avtomatizirano, brez dodatnih obveznosti za uvoznike ali carinske organe.</w:t>
      </w:r>
    </w:p>
    <w:p w14:paraId="48F455BE" w14:textId="77777777" w:rsidR="0063711D" w:rsidRPr="0063711D" w:rsidRDefault="0063711D" w:rsidP="0063711D">
      <w:pPr>
        <w:spacing w:after="160" w:line="259" w:lineRule="auto"/>
        <w:jc w:val="both"/>
        <w:rPr>
          <w:rFonts w:ascii="ArialMT" w:eastAsia="Aptos" w:hAnsi="ArialMT"/>
          <w:color w:val="000000"/>
          <w:kern w:val="2"/>
          <w:sz w:val="16"/>
          <w:szCs w:val="16"/>
          <w:lang w:val="sl-SI"/>
          <w14:ligatures w14:val="standardContextual"/>
        </w:rPr>
      </w:pPr>
      <w:r w:rsidRPr="0063711D">
        <w:rPr>
          <w:rFonts w:ascii="ArialMT" w:eastAsia="Aptos" w:hAnsi="ArialMT"/>
          <w:color w:val="000000"/>
          <w:kern w:val="2"/>
          <w:szCs w:val="20"/>
          <w:lang w:val="sl-SI"/>
          <w14:ligatures w14:val="standardContextual"/>
        </w:rPr>
        <w:t>S pomočjo brskalnika TARIC ali iz seznama protidampinških in izravnalnih ukrepov, ki je objavljen na spletnih straneh FURS, se udeleženci v carinskih postopkih že takoj po sprejetju uredbe lahko seznanite z informacijo, da se po zaključku preiskave na zadevno blago lahko retroaktivno uvedejo protidampinške dajatve. Dostop do brskalnika TARIC je mogoč preko portala e-Carina, pri čemer je treba imeti na računalniku nameščeno kvalificirano digitalno potrdilo.</w:t>
      </w:r>
      <w:r w:rsidRPr="0063711D">
        <w:rPr>
          <w:rFonts w:ascii="ArialMT" w:eastAsia="Aptos" w:hAnsi="ArialMT"/>
          <w:color w:val="000000"/>
          <w:kern w:val="2"/>
          <w:sz w:val="16"/>
          <w:szCs w:val="16"/>
          <w:lang w:val="sl-SI"/>
          <w14:ligatures w14:val="standardContextual"/>
        </w:rPr>
        <w:t xml:space="preserve"> </w:t>
      </w:r>
    </w:p>
    <w:p w14:paraId="608A233A" w14:textId="5B98F3C4" w:rsidR="0063711D" w:rsidRPr="0063711D" w:rsidRDefault="007977F6" w:rsidP="0063711D">
      <w:pPr>
        <w:spacing w:after="160" w:line="259" w:lineRule="auto"/>
        <w:jc w:val="both"/>
        <w:rPr>
          <w:rFonts w:ascii="ArialMT" w:eastAsia="Aptos" w:hAnsi="ArialMT"/>
          <w:color w:val="000000"/>
          <w:kern w:val="2"/>
          <w:szCs w:val="20"/>
          <w:lang w:val="sl-SI"/>
          <w14:ligatures w14:val="standardContextual"/>
        </w:rPr>
      </w:pPr>
      <w:r w:rsidRPr="0063711D">
        <w:rPr>
          <w:rFonts w:eastAsia="Aptos" w:cs="Arial"/>
          <w:noProof/>
          <w:kern w:val="2"/>
          <w:szCs w:val="20"/>
          <w:lang w:val="sl-SI"/>
          <w14:ligatures w14:val="standardContextual"/>
        </w:rPr>
        <mc:AlternateContent>
          <mc:Choice Requires="wps">
            <w:drawing>
              <wp:anchor distT="0" distB="0" distL="114300" distR="114300" simplePos="0" relativeHeight="251659264" behindDoc="0" locked="0" layoutInCell="1" allowOverlap="1" wp14:anchorId="1578F65F" wp14:editId="15788A5D">
                <wp:simplePos x="0" y="0"/>
                <wp:positionH relativeFrom="column">
                  <wp:posOffset>62865</wp:posOffset>
                </wp:positionH>
                <wp:positionV relativeFrom="paragraph">
                  <wp:posOffset>1709420</wp:posOffset>
                </wp:positionV>
                <wp:extent cx="2238375" cy="123825"/>
                <wp:effectExtent l="0" t="0" r="28575" b="28575"/>
                <wp:wrapNone/>
                <wp:docPr id="843476553" name="Pravokotnik 4"/>
                <wp:cNvGraphicFramePr/>
                <a:graphic xmlns:a="http://schemas.openxmlformats.org/drawingml/2006/main">
                  <a:graphicData uri="http://schemas.microsoft.com/office/word/2010/wordprocessingShape">
                    <wps:wsp>
                      <wps:cNvSpPr/>
                      <wps:spPr>
                        <a:xfrm>
                          <a:off x="0" y="0"/>
                          <a:ext cx="2238375" cy="1238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775E2" id="Pravokotnik 4" o:spid="_x0000_s1026" style="position:absolute;margin-left:4.95pt;margin-top:134.6pt;width:17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" filled="f" strokecolor="red" strokeweight="1pt"/>
            </w:pict>
          </mc:Fallback>
        </mc:AlternateContent>
      </w:r>
      <w:r w:rsidR="0063711D" w:rsidRPr="0063711D">
        <w:rPr>
          <w:rFonts w:eastAsia="Aptos" w:cs="Arial"/>
          <w:noProof/>
          <w:kern w:val="2"/>
          <w:szCs w:val="20"/>
          <w:lang w:val="sl-SI"/>
          <w14:ligatures w14:val="standardContextual"/>
        </w:rPr>
        <w:drawing>
          <wp:inline distT="0" distB="0" distL="0" distR="0" wp14:anchorId="26F5B59E" wp14:editId="2D45CFA0">
            <wp:extent cx="5676900" cy="1962150"/>
            <wp:effectExtent l="19050" t="19050" r="19050" b="19050"/>
            <wp:docPr id="889608399" name="Slika 1" descr="Slika, ki vsebuje besede besedilo, številka, pisava, vr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08399" name="Slika 1" descr="Slika, ki vsebuje besede besedilo, številka, pisava, vrstica"/>
                    <pic:cNvPicPr/>
                  </pic:nvPicPr>
                  <pic:blipFill>
                    <a:blip r:embed="rId10"/>
                    <a:stretch>
                      <a:fillRect/>
                    </a:stretch>
                  </pic:blipFill>
                  <pic:spPr>
                    <a:xfrm>
                      <a:off x="0" y="0"/>
                      <a:ext cx="5676900" cy="1962150"/>
                    </a:xfrm>
                    <a:prstGeom prst="rect">
                      <a:avLst/>
                    </a:prstGeom>
                    <a:ln w="19050">
                      <a:solidFill>
                        <a:sysClr val="windowText" lastClr="000000">
                          <a:lumMod val="50000"/>
                          <a:lumOff val="50000"/>
                        </a:sysClr>
                      </a:solidFill>
                    </a:ln>
                  </pic:spPr>
                </pic:pic>
              </a:graphicData>
            </a:graphic>
          </wp:inline>
        </w:drawing>
      </w:r>
    </w:p>
    <w:p w14:paraId="2E7653AB" w14:textId="6257C121" w:rsidR="0063711D" w:rsidRDefault="0063711D" w:rsidP="0063711D">
      <w:pPr>
        <w:spacing w:after="160" w:line="259" w:lineRule="auto"/>
        <w:jc w:val="both"/>
        <w:rPr>
          <w:rFonts w:ascii="Arial-ItalicMT" w:eastAsia="Aptos" w:hAnsi="Arial-ItalicMT"/>
          <w:i/>
          <w:iCs/>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Slika 1: </w:t>
      </w:r>
      <w:r w:rsidRPr="0063711D">
        <w:rPr>
          <w:rFonts w:ascii="Arial-ItalicMT" w:eastAsia="Aptos" w:hAnsi="Arial-ItalicMT"/>
          <w:i/>
          <w:iCs/>
          <w:color w:val="000000"/>
          <w:kern w:val="2"/>
          <w:szCs w:val="20"/>
          <w:lang w:val="sl-SI"/>
          <w14:ligatures w14:val="standardContextual"/>
        </w:rPr>
        <w:t xml:space="preserve">Izrez iz brskalnika TARIC za blago iz oznake TARIC 3504 00 90 91, za katerega je uveden ukrep registracije uvoza v skladu z Izvedbeno uredbo Komisije (EU) 2144/2025 </w:t>
      </w:r>
    </w:p>
    <w:p w14:paraId="0C749AAB" w14:textId="77777777"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lastRenderedPageBreak/>
        <w:t>Blago je predmet ukrepa registracije uvoza največ 9 mesecev. Po preteku tega obdobja oziroma v nekaterih primerih tudi pred iztekom 9 mesecev, Komisija sprejme odločitev in ukrep umakne brez finančnih posledic ali pa uvede dajatve za nazaj. Obračun dajatev za registrirane uvoze Komisija odredi z uredbo, ki uvaja dokončne protidampinške dajatve, vključno z možnostjo uveljavitve individualne stopnje dajatev za posamezne proizvajalce izvoznike (primer uredbe;</w:t>
      </w:r>
      <w:hyperlink r:id="rId11" w:history="1">
        <w:r w:rsidRPr="0063711D">
          <w:rPr>
            <w:rFonts w:ascii="ArialMT" w:eastAsia="Aptos" w:hAnsi="ArialMT"/>
            <w:color w:val="467886"/>
            <w:kern w:val="2"/>
            <w:szCs w:val="20"/>
            <w:u w:val="single"/>
            <w:lang w:val="sl-SI"/>
            <w14:ligatures w14:val="standardContextual"/>
          </w:rPr>
          <w:t xml:space="preserve"> Izvedbena uredba Komisije (EU) 2025/2153</w:t>
        </w:r>
      </w:hyperlink>
      <w:r w:rsidRPr="0063711D">
        <w:rPr>
          <w:rFonts w:ascii="ArialMT" w:eastAsia="Aptos" w:hAnsi="ArialMT"/>
          <w:color w:val="000000"/>
          <w:kern w:val="2"/>
          <w:szCs w:val="20"/>
          <w:lang w:val="sl-SI"/>
          <w14:ligatures w14:val="standardContextual"/>
        </w:rPr>
        <w:t>, člen 3).</w:t>
      </w:r>
    </w:p>
    <w:p w14:paraId="705E59E6" w14:textId="77777777"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Dokončne protidampinške uredbe za registrirane uvoze dopuščajo tudi možnost uveljavljanja individualne stopnje dajatev, ne predpisujejo pa na kakšen način oziroma s katerimi dokumenti lahko stranke uveljavijo individualno stopnjo dajatev. Izhodišče za uveljavitev individualne stopnje dajatev za posamezne proizvajalce izvoznike je v primeru uvedbe začasnih in dokončnih protidampinških ukrepov faktura s predpisano izjavo. Blago, ki je bilo predmet registracije in sproščeno v prosti promet pred objavo dokončne uredbe, pa na fakturi nima izjave. Prav tako nimajo izjave fakture v primerih, ko je bilo blago že odpremljeno, v vmesnem času pa so bili uvedeni npr. začasni protidampinški ukrepi. </w:t>
      </w:r>
    </w:p>
    <w:p w14:paraId="6EABCD34" w14:textId="77777777"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V zvezi z uporabo individualne stopnje protidampinških dajatev Komisija pojasnjuje, da računi, s katerimi se uveljavlja individualna stopnja dajatev, ne glede na njihov obliko (vsebujejo izjavo ali ne) ne smejo biti edini in/ali zadosten element, s katerim naj bi se izkazovala upravičenost do individualne stopnje dajatev. </w:t>
      </w:r>
    </w:p>
    <w:p w14:paraId="4FEC3F72" w14:textId="2128502A" w:rsidR="0063711D" w:rsidRP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Stranke v carinskih postopkih Individualno obravnavo lahko izkazujejo tudi z dodatnimi dokazili, kot so: naročilnice, odpremne listine, transportni dokumenti, izpis bančnih transakcij, pogodbe, vmesne fakture, proizvodna dokumentacija, kopija poslovnega dovoljenja ipd.. Ker gre v večini primerov za prodajo preko posrednika/trgovca, se kot dokazilo lahko štejejo tudi fakture, ki jih proizvajalec izda posredniku/trgovcu, njune medsebojne pogodbe in drugi dokumenti. Dokumenti imajo lahko prekrite podatke, ki bi razkrili poslovne skrivnosti (npr. podatek o nabavni ceni blaga), vendar mora biti iz njih vidna nedvomna povezava med blagom, ki se sprošča po zadevni deklaraciji in njegovim proizvajalcem oziroma upravičencem kateremu je bila odobrena ugodnost. </w:t>
      </w:r>
    </w:p>
    <w:p w14:paraId="354AE67C" w14:textId="77777777" w:rsidR="0063711D" w:rsidRDefault="0063711D" w:rsidP="0063711D">
      <w:pPr>
        <w:spacing w:after="160" w:line="259" w:lineRule="auto"/>
        <w:jc w:val="both"/>
        <w:rPr>
          <w:rFonts w:ascii="ArialMT" w:eastAsia="Aptos" w:hAnsi="ArialMT"/>
          <w:color w:val="000000"/>
          <w:kern w:val="2"/>
          <w:szCs w:val="20"/>
          <w:lang w:val="sl-SI"/>
          <w14:ligatures w14:val="standardContextual"/>
        </w:rPr>
      </w:pPr>
      <w:r w:rsidRPr="0063711D">
        <w:rPr>
          <w:rFonts w:ascii="ArialMT" w:eastAsia="Aptos" w:hAnsi="ArialMT"/>
          <w:color w:val="000000"/>
          <w:kern w:val="2"/>
          <w:szCs w:val="20"/>
          <w:lang w:val="sl-SI"/>
          <w14:ligatures w14:val="standardContextual"/>
        </w:rPr>
        <w:t xml:space="preserve">Pristop Komisije za zagotavljanje boljših rezultatov trgovinske politike, še posebej tistih, ki so povezani z odločitvijo za retroaktivni obračun dajatev, lahko pomenijo za uvoznike veliko in nepričakovano finančno breme. Carinska administracija RS ni pristojna za sprejemanje zakonodaje ampak le za njeno izvajanje, kljub temu poskuša udeležencem v postopkih nuditi koristne informacije v zvezi z ukrepi že v zgodnjih fazah uvedbe le teh. V ta namen se tekoče posodablja </w:t>
      </w:r>
      <w:hyperlink r:id="rId12" w:history="1">
        <w:r w:rsidRPr="0063711D">
          <w:rPr>
            <w:rFonts w:ascii="ArialMT" w:eastAsia="Aptos" w:hAnsi="ArialMT"/>
            <w:color w:val="467886"/>
            <w:kern w:val="2"/>
            <w:szCs w:val="20"/>
            <w:u w:val="single"/>
            <w:lang w:val="sl-SI"/>
            <w14:ligatures w14:val="standardContextual"/>
          </w:rPr>
          <w:t xml:space="preserve">seznam </w:t>
        </w:r>
        <w:proofErr w:type="spellStart"/>
        <w:r w:rsidRPr="0063711D">
          <w:rPr>
            <w:rFonts w:ascii="ArialMT" w:eastAsia="Aptos" w:hAnsi="ArialMT"/>
            <w:color w:val="467886"/>
            <w:kern w:val="2"/>
            <w:szCs w:val="20"/>
            <w:u w:val="single"/>
            <w:lang w:val="sl-SI"/>
            <w14:ligatures w14:val="standardContextual"/>
          </w:rPr>
          <w:t>protidampinških</w:t>
        </w:r>
        <w:proofErr w:type="spellEnd"/>
        <w:r w:rsidRPr="0063711D">
          <w:rPr>
            <w:rFonts w:ascii="ArialMT" w:eastAsia="Aptos" w:hAnsi="ArialMT"/>
            <w:color w:val="467886"/>
            <w:kern w:val="2"/>
            <w:szCs w:val="20"/>
            <w:u w:val="single"/>
            <w:lang w:val="sl-SI"/>
            <w14:ligatures w14:val="standardContextual"/>
          </w:rPr>
          <w:t xml:space="preserve"> in izravnalnih ukrepov</w:t>
        </w:r>
      </w:hyperlink>
      <w:r w:rsidRPr="0063711D">
        <w:rPr>
          <w:rFonts w:ascii="ArialMT" w:eastAsia="Aptos" w:hAnsi="ArialMT"/>
          <w:color w:val="0000FF"/>
          <w:kern w:val="2"/>
          <w:szCs w:val="20"/>
          <w:lang w:val="sl-SI"/>
          <w14:ligatures w14:val="standardContextual"/>
        </w:rPr>
        <w:t xml:space="preserve"> </w:t>
      </w:r>
      <w:r w:rsidRPr="0063711D">
        <w:rPr>
          <w:rFonts w:ascii="ArialMT" w:eastAsia="Aptos" w:hAnsi="ArialMT"/>
          <w:color w:val="000000"/>
          <w:kern w:val="2"/>
          <w:szCs w:val="20"/>
          <w:lang w:val="sl-SI"/>
          <w14:ligatures w14:val="standardContextual"/>
        </w:rPr>
        <w:t>na spletnih straneh FURS. Seznam, skupaj z informacijami iz brskalnika TARIC, nudi koristne informacije, na osnovi katerih je mogoče skrbneje načrtovati poslovanje, oziroma predvideti morebitne dodatne stroške za podjetje.</w:t>
      </w:r>
    </w:p>
    <w:p w14:paraId="2B8917AF" w14:textId="77777777" w:rsidR="001E5588" w:rsidRDefault="001E5588" w:rsidP="0063711D">
      <w:pPr>
        <w:spacing w:after="160" w:line="259" w:lineRule="auto"/>
        <w:jc w:val="both"/>
        <w:rPr>
          <w:rFonts w:ascii="ArialMT" w:eastAsia="Aptos" w:hAnsi="ArialMT"/>
          <w:color w:val="000000"/>
          <w:kern w:val="2"/>
          <w:szCs w:val="20"/>
          <w:lang w:val="sl-SI"/>
          <w14:ligatures w14:val="standardContextual"/>
        </w:rPr>
      </w:pPr>
    </w:p>
    <w:p w14:paraId="4FBC4CD7" w14:textId="77777777" w:rsidR="001E5588" w:rsidRDefault="001E5588" w:rsidP="0063711D">
      <w:pPr>
        <w:spacing w:after="160" w:line="259" w:lineRule="auto"/>
        <w:jc w:val="both"/>
        <w:rPr>
          <w:rFonts w:ascii="ArialMT" w:eastAsia="Aptos" w:hAnsi="ArialMT"/>
          <w:color w:val="000000"/>
          <w:kern w:val="2"/>
          <w:szCs w:val="20"/>
          <w:lang w:val="sl-SI"/>
          <w14:ligatures w14:val="standardContextual"/>
        </w:rPr>
      </w:pPr>
    </w:p>
    <w:p w14:paraId="7CC23D53" w14:textId="77777777" w:rsidR="001E5588" w:rsidRDefault="001E5588" w:rsidP="0063711D">
      <w:pPr>
        <w:spacing w:after="160" w:line="259" w:lineRule="auto"/>
        <w:jc w:val="both"/>
        <w:rPr>
          <w:rFonts w:ascii="ArialMT" w:eastAsia="Aptos" w:hAnsi="ArialMT"/>
          <w:color w:val="000000"/>
          <w:kern w:val="2"/>
          <w:szCs w:val="20"/>
          <w:lang w:val="sl-SI"/>
          <w14:ligatures w14:val="standardContextual"/>
        </w:rPr>
      </w:pPr>
    </w:p>
    <w:p w14:paraId="19DBFA4A" w14:textId="77777777" w:rsidR="001E5588" w:rsidRDefault="001E5588" w:rsidP="0063711D">
      <w:pPr>
        <w:spacing w:after="160" w:line="259" w:lineRule="auto"/>
        <w:jc w:val="both"/>
        <w:rPr>
          <w:rFonts w:ascii="ArialMT" w:eastAsia="Aptos" w:hAnsi="ArialMT"/>
          <w:color w:val="000000"/>
          <w:kern w:val="2"/>
          <w:szCs w:val="20"/>
          <w:lang w:val="sl-SI"/>
          <w14:ligatures w14:val="standardContextual"/>
        </w:rPr>
      </w:pPr>
    </w:p>
    <w:p w14:paraId="379F549A" w14:textId="77777777" w:rsidR="001E5588" w:rsidRPr="0063711D" w:rsidRDefault="001E5588" w:rsidP="0063711D">
      <w:pPr>
        <w:spacing w:after="160" w:line="259" w:lineRule="auto"/>
        <w:jc w:val="both"/>
        <w:rPr>
          <w:rFonts w:ascii="ArialMT" w:eastAsia="Aptos" w:hAnsi="ArialMT"/>
          <w:color w:val="000000"/>
          <w:kern w:val="2"/>
          <w:szCs w:val="20"/>
          <w:lang w:val="sl-SI"/>
          <w14:ligatures w14:val="standardContextual"/>
        </w:rPr>
      </w:pPr>
    </w:p>
    <w:sectPr w:rsidR="001E5588" w:rsidRPr="0063711D" w:rsidSect="00F0025B">
      <w:headerReference w:type="even" r:id="rId13"/>
      <w:headerReference w:type="default" r:id="rId14"/>
      <w:footerReference w:type="even" r:id="rId15"/>
      <w:footerReference w:type="default" r:id="rId16"/>
      <w:headerReference w:type="first" r:id="rId17"/>
      <w:footerReference w:type="first" r:id="rId18"/>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AE05" w14:textId="77777777" w:rsidR="00617CD4" w:rsidRDefault="00617CD4">
      <w:pPr>
        <w:spacing w:line="240" w:lineRule="auto"/>
      </w:pPr>
      <w:r>
        <w:separator/>
      </w:r>
    </w:p>
  </w:endnote>
  <w:endnote w:type="continuationSeparator" w:id="0">
    <w:p w14:paraId="0E927D67" w14:textId="77777777" w:rsidR="00617CD4" w:rsidRDefault="00617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ItalicMT">
    <w:altName w:val="Arial"/>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7385" w14:textId="77777777" w:rsidR="005254D1" w:rsidRDefault="005254D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3D8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3828AD">
      <w:rPr>
        <w:rFonts w:cs="Arial"/>
        <w:noProof/>
        <w:sz w:val="16"/>
      </w:rPr>
      <w:t>1</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B0C7"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B653A6">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B653A6">
      <w:rPr>
        <w:rFonts w:cs="Arial"/>
        <w:noProof/>
        <w:sz w:val="16"/>
      </w:rPr>
      <w:t>1</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470C" w14:textId="77777777" w:rsidR="00617CD4" w:rsidRDefault="00617CD4">
      <w:pPr>
        <w:spacing w:line="240" w:lineRule="auto"/>
      </w:pPr>
      <w:r>
        <w:separator/>
      </w:r>
    </w:p>
  </w:footnote>
  <w:footnote w:type="continuationSeparator" w:id="0">
    <w:p w14:paraId="7F1A3DA7" w14:textId="77777777" w:rsidR="00617CD4" w:rsidRDefault="00617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7A02" w14:textId="77777777" w:rsidR="005254D1" w:rsidRDefault="005254D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16E6" w14:textId="77777777" w:rsidR="000B0B21" w:rsidRPr="00110CBD" w:rsidRDefault="000B0B2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D6C67" w14:paraId="477DD676" w14:textId="77777777">
      <w:trPr>
        <w:cantSplit/>
        <w:trHeight w:hRule="exact" w:val="847"/>
      </w:trPr>
      <w:tc>
        <w:tcPr>
          <w:tcW w:w="567" w:type="dxa"/>
        </w:tcPr>
        <w:p w14:paraId="4F94D00B" w14:textId="77777777" w:rsidR="000B0B21" w:rsidRDefault="00000000"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AFE1E60" w14:textId="77777777" w:rsidR="000B0B21" w:rsidRPr="006D42D9" w:rsidRDefault="000B0B21" w:rsidP="006D42D9">
          <w:pPr>
            <w:rPr>
              <w:rFonts w:ascii="Republika" w:hAnsi="Republika"/>
              <w:sz w:val="60"/>
              <w:szCs w:val="60"/>
              <w:lang w:val="sl-SI"/>
            </w:rPr>
          </w:pPr>
        </w:p>
        <w:p w14:paraId="21DFFD54" w14:textId="77777777" w:rsidR="000B0B21" w:rsidRPr="006D42D9" w:rsidRDefault="000B0B21" w:rsidP="006D42D9">
          <w:pPr>
            <w:rPr>
              <w:rFonts w:ascii="Republika" w:hAnsi="Republika"/>
              <w:sz w:val="60"/>
              <w:szCs w:val="60"/>
              <w:lang w:val="sl-SI"/>
            </w:rPr>
          </w:pPr>
        </w:p>
        <w:p w14:paraId="290638B0" w14:textId="77777777" w:rsidR="000B0B21" w:rsidRPr="006D42D9" w:rsidRDefault="000B0B21" w:rsidP="006D42D9">
          <w:pPr>
            <w:rPr>
              <w:rFonts w:ascii="Republika" w:hAnsi="Republika"/>
              <w:sz w:val="60"/>
              <w:szCs w:val="60"/>
              <w:lang w:val="sl-SI"/>
            </w:rPr>
          </w:pPr>
        </w:p>
        <w:p w14:paraId="6EB9821D" w14:textId="77777777" w:rsidR="000B0B21" w:rsidRPr="006D42D9" w:rsidRDefault="000B0B21" w:rsidP="006D42D9">
          <w:pPr>
            <w:rPr>
              <w:rFonts w:ascii="Republika" w:hAnsi="Republika"/>
              <w:sz w:val="60"/>
              <w:szCs w:val="60"/>
              <w:lang w:val="sl-SI"/>
            </w:rPr>
          </w:pPr>
        </w:p>
        <w:p w14:paraId="5DC18BFE" w14:textId="77777777" w:rsidR="000B0B21" w:rsidRPr="006D42D9" w:rsidRDefault="000B0B21" w:rsidP="006D42D9">
          <w:pPr>
            <w:rPr>
              <w:rFonts w:ascii="Republika" w:hAnsi="Republika"/>
              <w:sz w:val="60"/>
              <w:szCs w:val="60"/>
              <w:lang w:val="sl-SI"/>
            </w:rPr>
          </w:pPr>
        </w:p>
        <w:p w14:paraId="65247A0B" w14:textId="77777777" w:rsidR="000B0B21" w:rsidRPr="006D42D9" w:rsidRDefault="000B0B21" w:rsidP="006D42D9">
          <w:pPr>
            <w:rPr>
              <w:rFonts w:ascii="Republika" w:hAnsi="Republika"/>
              <w:sz w:val="60"/>
              <w:szCs w:val="60"/>
              <w:lang w:val="sl-SI"/>
            </w:rPr>
          </w:pPr>
        </w:p>
        <w:p w14:paraId="436AF1FB" w14:textId="77777777" w:rsidR="000B0B21" w:rsidRPr="006D42D9" w:rsidRDefault="000B0B21" w:rsidP="006D42D9">
          <w:pPr>
            <w:rPr>
              <w:rFonts w:ascii="Republika" w:hAnsi="Republika"/>
              <w:sz w:val="60"/>
              <w:szCs w:val="60"/>
              <w:lang w:val="sl-SI"/>
            </w:rPr>
          </w:pPr>
        </w:p>
        <w:p w14:paraId="78D1F8EE" w14:textId="77777777" w:rsidR="000B0B21" w:rsidRPr="006D42D9" w:rsidRDefault="000B0B21" w:rsidP="006D42D9">
          <w:pPr>
            <w:rPr>
              <w:rFonts w:ascii="Republika" w:hAnsi="Republika"/>
              <w:sz w:val="60"/>
              <w:szCs w:val="60"/>
              <w:lang w:val="sl-SI"/>
            </w:rPr>
          </w:pPr>
        </w:p>
        <w:p w14:paraId="2A47BEFE" w14:textId="77777777" w:rsidR="000B0B21" w:rsidRPr="006D42D9" w:rsidRDefault="000B0B21" w:rsidP="006D42D9">
          <w:pPr>
            <w:rPr>
              <w:rFonts w:ascii="Republika" w:hAnsi="Republika"/>
              <w:sz w:val="60"/>
              <w:szCs w:val="60"/>
              <w:lang w:val="sl-SI"/>
            </w:rPr>
          </w:pPr>
        </w:p>
        <w:p w14:paraId="1D76EBEB" w14:textId="77777777" w:rsidR="000B0B21" w:rsidRPr="006D42D9" w:rsidRDefault="000B0B21" w:rsidP="006D42D9">
          <w:pPr>
            <w:rPr>
              <w:rFonts w:ascii="Republika" w:hAnsi="Republika"/>
              <w:sz w:val="60"/>
              <w:szCs w:val="60"/>
              <w:lang w:val="sl-SI"/>
            </w:rPr>
          </w:pPr>
        </w:p>
        <w:p w14:paraId="76456172" w14:textId="77777777" w:rsidR="000B0B21" w:rsidRPr="006D42D9" w:rsidRDefault="000B0B21" w:rsidP="006D42D9">
          <w:pPr>
            <w:rPr>
              <w:rFonts w:ascii="Republika" w:hAnsi="Republika"/>
              <w:sz w:val="60"/>
              <w:szCs w:val="60"/>
              <w:lang w:val="sl-SI"/>
            </w:rPr>
          </w:pPr>
        </w:p>
        <w:p w14:paraId="5EB852C4" w14:textId="77777777" w:rsidR="000B0B21" w:rsidRPr="006D42D9" w:rsidRDefault="000B0B21" w:rsidP="006D42D9">
          <w:pPr>
            <w:rPr>
              <w:rFonts w:ascii="Republika" w:hAnsi="Republika"/>
              <w:sz w:val="60"/>
              <w:szCs w:val="60"/>
              <w:lang w:val="sl-SI"/>
            </w:rPr>
          </w:pPr>
        </w:p>
        <w:p w14:paraId="604C08E3" w14:textId="77777777" w:rsidR="000B0B21" w:rsidRPr="006D42D9" w:rsidRDefault="000B0B21" w:rsidP="006D42D9">
          <w:pPr>
            <w:rPr>
              <w:rFonts w:ascii="Republika" w:hAnsi="Republika"/>
              <w:sz w:val="60"/>
              <w:szCs w:val="60"/>
              <w:lang w:val="sl-SI"/>
            </w:rPr>
          </w:pPr>
        </w:p>
        <w:p w14:paraId="5FFDC494" w14:textId="77777777" w:rsidR="000B0B21" w:rsidRPr="006D42D9" w:rsidRDefault="000B0B21" w:rsidP="006D42D9">
          <w:pPr>
            <w:rPr>
              <w:rFonts w:ascii="Republika" w:hAnsi="Republika"/>
              <w:sz w:val="60"/>
              <w:szCs w:val="60"/>
              <w:lang w:val="sl-SI"/>
            </w:rPr>
          </w:pPr>
        </w:p>
        <w:p w14:paraId="256B52FC" w14:textId="77777777" w:rsidR="000B0B21" w:rsidRPr="006D42D9" w:rsidRDefault="000B0B21" w:rsidP="006D42D9">
          <w:pPr>
            <w:rPr>
              <w:rFonts w:ascii="Republika" w:hAnsi="Republika"/>
              <w:sz w:val="60"/>
              <w:szCs w:val="60"/>
              <w:lang w:val="sl-SI"/>
            </w:rPr>
          </w:pPr>
        </w:p>
        <w:p w14:paraId="215B52A2" w14:textId="77777777" w:rsidR="000B0B21" w:rsidRPr="006D42D9" w:rsidRDefault="000B0B21" w:rsidP="006D42D9">
          <w:pPr>
            <w:rPr>
              <w:rFonts w:ascii="Republika" w:hAnsi="Republika"/>
              <w:sz w:val="60"/>
              <w:szCs w:val="60"/>
              <w:lang w:val="sl-SI"/>
            </w:rPr>
          </w:pPr>
        </w:p>
      </w:tc>
    </w:tr>
  </w:tbl>
  <w:p w14:paraId="41993CE4" w14:textId="77777777" w:rsidR="000B0B21" w:rsidRPr="008F3500" w:rsidRDefault="00000000" w:rsidP="00924E3C">
    <w:pPr>
      <w:autoSpaceDE w:val="0"/>
      <w:autoSpaceDN w:val="0"/>
      <w:adjustRightInd w:val="0"/>
      <w:spacing w:line="240" w:lineRule="auto"/>
      <w:rPr>
        <w:rFonts w:ascii="Republika" w:hAnsi="Republika"/>
        <w:lang w:val="sl-SI"/>
      </w:rPr>
    </w:pPr>
    <w:r>
      <w:rPr>
        <w:noProof/>
        <w:szCs w:val="20"/>
        <w:lang w:val="sl-SI" w:eastAsia="ko-KR"/>
      </w:rPr>
      <mc:AlternateContent>
        <mc:Choice Requires="wps">
          <w:drawing>
            <wp:anchor distT="0" distB="0" distL="114300" distR="114300" simplePos="0" relativeHeight="251659264" behindDoc="1" locked="0" layoutInCell="0" allowOverlap="1" wp14:anchorId="4C5FB7CC" wp14:editId="0F1AE2C1">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vertical-relative:page;mso-width-percent:0;mso-width-relative:page;mso-wrap-distance-bottom:0;mso-wrap-distance-left:9pt;mso-wrap-distance-right:9pt;mso-wrap-distance-top:0;position:absolute;v-text-anchor:top;z-index:-251658240" from="-34pt,283.5pt" to="-14.15pt,283.5pt" o:allowincell="f" fillcolor="this" stroked="t" strokecolor="#428299" strokeweight="0.5pt">
              <v:stroke joinstyle="round"/>
            </v:line>
          </w:pict>
        </mc:Fallback>
      </mc:AlternateContent>
    </w:r>
    <w:r w:rsidRPr="008F3500">
      <w:rPr>
        <w:rFonts w:ascii="Republika" w:hAnsi="Republika"/>
        <w:lang w:val="sl-SI"/>
      </w:rPr>
      <w:t>REPUBLIKA SLOVENIJA</w:t>
    </w:r>
  </w:p>
  <w:p w14:paraId="2EC1D05E" w14:textId="77777777" w:rsidR="000B0B21" w:rsidRPr="00FD746A" w:rsidRDefault="00000000" w:rsidP="00924E3C">
    <w:pPr>
      <w:pStyle w:val="Glava"/>
      <w:tabs>
        <w:tab w:val="clear" w:pos="4320"/>
        <w:tab w:val="clear" w:pos="8640"/>
        <w:tab w:val="left" w:pos="5112"/>
      </w:tabs>
      <w:spacing w:after="120" w:line="240" w:lineRule="exact"/>
      <w:rPr>
        <w:rFonts w:ascii="Republika" w:hAnsi="Republika"/>
        <w:b/>
        <w:caps/>
        <w:lang w:val="sl-SI"/>
      </w:rPr>
    </w:pPr>
    <w:r w:rsidRPr="00FD746A">
      <w:rPr>
        <w:rFonts w:ascii="Republika" w:hAnsi="Republika"/>
        <w:b/>
        <w:caps/>
        <w:lang w:val="sl-SI"/>
      </w:rPr>
      <w:t>Ministrstvo za finance</w:t>
    </w:r>
  </w:p>
  <w:p w14:paraId="5C63824F" w14:textId="77777777" w:rsidR="00ED7E82" w:rsidRDefault="00000000"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w:t>
    </w:r>
    <w:r w:rsidR="00A12D5C">
      <w:rPr>
        <w:rFonts w:ascii="Republika" w:hAnsi="Republika"/>
        <w:caps/>
        <w:lang w:val="sl-SI"/>
      </w:rPr>
      <w:t xml:space="preserve"> uprava Republike Slovenije</w:t>
    </w:r>
  </w:p>
  <w:p w14:paraId="708AFA92" w14:textId="77777777" w:rsidR="005254D1" w:rsidRPr="00A12D5C" w:rsidRDefault="00000000" w:rsidP="005254D1">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Generalni finančni urad</w:t>
    </w:r>
  </w:p>
  <w:p w14:paraId="1EBBA622" w14:textId="77777777" w:rsidR="005254D1" w:rsidRPr="008F3500" w:rsidRDefault="00000000" w:rsidP="005254D1">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1FE119D4" w14:textId="77777777" w:rsidR="005254D1" w:rsidRPr="008F3500" w:rsidRDefault="00000000" w:rsidP="005254D1">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19A8ABB1" w14:textId="77777777" w:rsidR="005254D1" w:rsidRPr="008F3500" w:rsidRDefault="00000000" w:rsidP="005254D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76CF5853" w14:textId="77777777" w:rsidR="000B0B21" w:rsidRPr="008F3500" w:rsidRDefault="000B0B2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A64643CA">
      <w:start w:val="1"/>
      <w:numFmt w:val="decimal"/>
      <w:lvlText w:val="%1."/>
      <w:lvlJc w:val="left"/>
      <w:pPr>
        <w:tabs>
          <w:tab w:val="num" w:pos="1080"/>
        </w:tabs>
        <w:ind w:left="1080" w:hanging="360"/>
      </w:pPr>
      <w:rPr>
        <w:rFonts w:hint="default"/>
      </w:rPr>
    </w:lvl>
    <w:lvl w:ilvl="1" w:tplc="1CDC8BC4" w:tentative="1">
      <w:start w:val="1"/>
      <w:numFmt w:val="lowerLetter"/>
      <w:lvlText w:val="%2."/>
      <w:lvlJc w:val="left"/>
      <w:pPr>
        <w:ind w:left="1800" w:hanging="360"/>
      </w:pPr>
    </w:lvl>
    <w:lvl w:ilvl="2" w:tplc="626E9E00" w:tentative="1">
      <w:start w:val="1"/>
      <w:numFmt w:val="lowerRoman"/>
      <w:lvlText w:val="%3."/>
      <w:lvlJc w:val="right"/>
      <w:pPr>
        <w:ind w:left="2520" w:hanging="180"/>
      </w:pPr>
    </w:lvl>
    <w:lvl w:ilvl="3" w:tplc="1444FB06" w:tentative="1">
      <w:start w:val="1"/>
      <w:numFmt w:val="decimal"/>
      <w:lvlText w:val="%4."/>
      <w:lvlJc w:val="left"/>
      <w:pPr>
        <w:ind w:left="3240" w:hanging="360"/>
      </w:pPr>
    </w:lvl>
    <w:lvl w:ilvl="4" w:tplc="D364321E" w:tentative="1">
      <w:start w:val="1"/>
      <w:numFmt w:val="lowerLetter"/>
      <w:lvlText w:val="%5."/>
      <w:lvlJc w:val="left"/>
      <w:pPr>
        <w:ind w:left="3960" w:hanging="360"/>
      </w:pPr>
    </w:lvl>
    <w:lvl w:ilvl="5" w:tplc="0B5074B0" w:tentative="1">
      <w:start w:val="1"/>
      <w:numFmt w:val="lowerRoman"/>
      <w:lvlText w:val="%6."/>
      <w:lvlJc w:val="right"/>
      <w:pPr>
        <w:ind w:left="4680" w:hanging="180"/>
      </w:pPr>
    </w:lvl>
    <w:lvl w:ilvl="6" w:tplc="EB9667AC" w:tentative="1">
      <w:start w:val="1"/>
      <w:numFmt w:val="decimal"/>
      <w:lvlText w:val="%7."/>
      <w:lvlJc w:val="left"/>
      <w:pPr>
        <w:ind w:left="5400" w:hanging="360"/>
      </w:pPr>
    </w:lvl>
    <w:lvl w:ilvl="7" w:tplc="8D7EA844" w:tentative="1">
      <w:start w:val="1"/>
      <w:numFmt w:val="lowerLetter"/>
      <w:lvlText w:val="%8."/>
      <w:lvlJc w:val="left"/>
      <w:pPr>
        <w:ind w:left="6120" w:hanging="360"/>
      </w:pPr>
    </w:lvl>
    <w:lvl w:ilvl="8" w:tplc="B15CC022"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A9F002B2">
      <w:start w:val="1"/>
      <w:numFmt w:val="decimal"/>
      <w:lvlText w:val="%1."/>
      <w:lvlJc w:val="left"/>
      <w:pPr>
        <w:tabs>
          <w:tab w:val="num" w:pos="360"/>
        </w:tabs>
        <w:ind w:left="360" w:hanging="360"/>
      </w:pPr>
      <w:rPr>
        <w:rFonts w:hint="default"/>
      </w:rPr>
    </w:lvl>
    <w:lvl w:ilvl="1" w:tplc="D228D816" w:tentative="1">
      <w:start w:val="1"/>
      <w:numFmt w:val="lowerLetter"/>
      <w:lvlText w:val="%2."/>
      <w:lvlJc w:val="left"/>
      <w:pPr>
        <w:ind w:left="1080" w:hanging="360"/>
      </w:pPr>
    </w:lvl>
    <w:lvl w:ilvl="2" w:tplc="788E78C2" w:tentative="1">
      <w:start w:val="1"/>
      <w:numFmt w:val="lowerRoman"/>
      <w:lvlText w:val="%3."/>
      <w:lvlJc w:val="right"/>
      <w:pPr>
        <w:ind w:left="1800" w:hanging="180"/>
      </w:pPr>
    </w:lvl>
    <w:lvl w:ilvl="3" w:tplc="1FC2CC64" w:tentative="1">
      <w:start w:val="1"/>
      <w:numFmt w:val="decimal"/>
      <w:lvlText w:val="%4."/>
      <w:lvlJc w:val="left"/>
      <w:pPr>
        <w:ind w:left="2520" w:hanging="360"/>
      </w:pPr>
    </w:lvl>
    <w:lvl w:ilvl="4" w:tplc="CD70F640" w:tentative="1">
      <w:start w:val="1"/>
      <w:numFmt w:val="lowerLetter"/>
      <w:lvlText w:val="%5."/>
      <w:lvlJc w:val="left"/>
      <w:pPr>
        <w:ind w:left="3240" w:hanging="360"/>
      </w:pPr>
    </w:lvl>
    <w:lvl w:ilvl="5" w:tplc="A8F0B024" w:tentative="1">
      <w:start w:val="1"/>
      <w:numFmt w:val="lowerRoman"/>
      <w:lvlText w:val="%6."/>
      <w:lvlJc w:val="right"/>
      <w:pPr>
        <w:ind w:left="3960" w:hanging="180"/>
      </w:pPr>
    </w:lvl>
    <w:lvl w:ilvl="6" w:tplc="05EEDDAE" w:tentative="1">
      <w:start w:val="1"/>
      <w:numFmt w:val="decimal"/>
      <w:lvlText w:val="%7."/>
      <w:lvlJc w:val="left"/>
      <w:pPr>
        <w:ind w:left="4680" w:hanging="360"/>
      </w:pPr>
    </w:lvl>
    <w:lvl w:ilvl="7" w:tplc="FE3E25B4" w:tentative="1">
      <w:start w:val="1"/>
      <w:numFmt w:val="lowerLetter"/>
      <w:lvlText w:val="%8."/>
      <w:lvlJc w:val="left"/>
      <w:pPr>
        <w:ind w:left="5400" w:hanging="360"/>
      </w:pPr>
    </w:lvl>
    <w:lvl w:ilvl="8" w:tplc="B890257E"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19845594">
      <w:start w:val="1"/>
      <w:numFmt w:val="decimal"/>
      <w:lvlText w:val="%1."/>
      <w:lvlJc w:val="left"/>
      <w:pPr>
        <w:tabs>
          <w:tab w:val="num" w:pos="720"/>
        </w:tabs>
        <w:ind w:left="720" w:hanging="360"/>
      </w:pPr>
      <w:rPr>
        <w:rFonts w:hint="default"/>
      </w:rPr>
    </w:lvl>
    <w:lvl w:ilvl="1" w:tplc="88C808AC" w:tentative="1">
      <w:start w:val="1"/>
      <w:numFmt w:val="lowerLetter"/>
      <w:lvlText w:val="%2."/>
      <w:lvlJc w:val="left"/>
      <w:pPr>
        <w:tabs>
          <w:tab w:val="num" w:pos="1440"/>
        </w:tabs>
        <w:ind w:left="1440" w:hanging="360"/>
      </w:pPr>
    </w:lvl>
    <w:lvl w:ilvl="2" w:tplc="25A45A42" w:tentative="1">
      <w:start w:val="1"/>
      <w:numFmt w:val="lowerRoman"/>
      <w:lvlText w:val="%3."/>
      <w:lvlJc w:val="right"/>
      <w:pPr>
        <w:tabs>
          <w:tab w:val="num" w:pos="2160"/>
        </w:tabs>
        <w:ind w:left="2160" w:hanging="180"/>
      </w:pPr>
    </w:lvl>
    <w:lvl w:ilvl="3" w:tplc="25688068" w:tentative="1">
      <w:start w:val="1"/>
      <w:numFmt w:val="decimal"/>
      <w:lvlText w:val="%4."/>
      <w:lvlJc w:val="left"/>
      <w:pPr>
        <w:tabs>
          <w:tab w:val="num" w:pos="2880"/>
        </w:tabs>
        <w:ind w:left="2880" w:hanging="360"/>
      </w:pPr>
    </w:lvl>
    <w:lvl w:ilvl="4" w:tplc="BA3ABA9C" w:tentative="1">
      <w:start w:val="1"/>
      <w:numFmt w:val="lowerLetter"/>
      <w:lvlText w:val="%5."/>
      <w:lvlJc w:val="left"/>
      <w:pPr>
        <w:tabs>
          <w:tab w:val="num" w:pos="3600"/>
        </w:tabs>
        <w:ind w:left="3600" w:hanging="360"/>
      </w:pPr>
    </w:lvl>
    <w:lvl w:ilvl="5" w:tplc="8D1CD496" w:tentative="1">
      <w:start w:val="1"/>
      <w:numFmt w:val="lowerRoman"/>
      <w:lvlText w:val="%6."/>
      <w:lvlJc w:val="right"/>
      <w:pPr>
        <w:tabs>
          <w:tab w:val="num" w:pos="4320"/>
        </w:tabs>
        <w:ind w:left="4320" w:hanging="180"/>
      </w:pPr>
    </w:lvl>
    <w:lvl w:ilvl="6" w:tplc="1E202CE4" w:tentative="1">
      <w:start w:val="1"/>
      <w:numFmt w:val="decimal"/>
      <w:lvlText w:val="%7."/>
      <w:lvlJc w:val="left"/>
      <w:pPr>
        <w:tabs>
          <w:tab w:val="num" w:pos="5040"/>
        </w:tabs>
        <w:ind w:left="5040" w:hanging="360"/>
      </w:pPr>
    </w:lvl>
    <w:lvl w:ilvl="7" w:tplc="A4D2B628" w:tentative="1">
      <w:start w:val="1"/>
      <w:numFmt w:val="lowerLetter"/>
      <w:lvlText w:val="%8."/>
      <w:lvlJc w:val="left"/>
      <w:pPr>
        <w:tabs>
          <w:tab w:val="num" w:pos="5760"/>
        </w:tabs>
        <w:ind w:left="5760" w:hanging="360"/>
      </w:pPr>
    </w:lvl>
    <w:lvl w:ilvl="8" w:tplc="8E107CE2"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545A7EAC">
      <w:start w:val="1"/>
      <w:numFmt w:val="decimal"/>
      <w:lvlText w:val="%1."/>
      <w:lvlJc w:val="left"/>
      <w:pPr>
        <w:tabs>
          <w:tab w:val="num" w:pos="720"/>
        </w:tabs>
        <w:ind w:left="720" w:hanging="360"/>
      </w:pPr>
    </w:lvl>
    <w:lvl w:ilvl="1" w:tplc="07AC9CD2" w:tentative="1">
      <w:start w:val="1"/>
      <w:numFmt w:val="lowerLetter"/>
      <w:lvlText w:val="%2."/>
      <w:lvlJc w:val="left"/>
      <w:pPr>
        <w:tabs>
          <w:tab w:val="num" w:pos="1440"/>
        </w:tabs>
        <w:ind w:left="1440" w:hanging="360"/>
      </w:pPr>
    </w:lvl>
    <w:lvl w:ilvl="2" w:tplc="8CE83DA8" w:tentative="1">
      <w:start w:val="1"/>
      <w:numFmt w:val="lowerRoman"/>
      <w:lvlText w:val="%3."/>
      <w:lvlJc w:val="right"/>
      <w:pPr>
        <w:tabs>
          <w:tab w:val="num" w:pos="2160"/>
        </w:tabs>
        <w:ind w:left="2160" w:hanging="180"/>
      </w:pPr>
    </w:lvl>
    <w:lvl w:ilvl="3" w:tplc="9F9CAF82" w:tentative="1">
      <w:start w:val="1"/>
      <w:numFmt w:val="decimal"/>
      <w:lvlText w:val="%4."/>
      <w:lvlJc w:val="left"/>
      <w:pPr>
        <w:tabs>
          <w:tab w:val="num" w:pos="2880"/>
        </w:tabs>
        <w:ind w:left="2880" w:hanging="360"/>
      </w:pPr>
    </w:lvl>
    <w:lvl w:ilvl="4" w:tplc="8000F538" w:tentative="1">
      <w:start w:val="1"/>
      <w:numFmt w:val="lowerLetter"/>
      <w:lvlText w:val="%5."/>
      <w:lvlJc w:val="left"/>
      <w:pPr>
        <w:tabs>
          <w:tab w:val="num" w:pos="3600"/>
        </w:tabs>
        <w:ind w:left="3600" w:hanging="360"/>
      </w:pPr>
    </w:lvl>
    <w:lvl w:ilvl="5" w:tplc="24D2EEFC" w:tentative="1">
      <w:start w:val="1"/>
      <w:numFmt w:val="lowerRoman"/>
      <w:lvlText w:val="%6."/>
      <w:lvlJc w:val="right"/>
      <w:pPr>
        <w:tabs>
          <w:tab w:val="num" w:pos="4320"/>
        </w:tabs>
        <w:ind w:left="4320" w:hanging="180"/>
      </w:pPr>
    </w:lvl>
    <w:lvl w:ilvl="6" w:tplc="CC56ABFA" w:tentative="1">
      <w:start w:val="1"/>
      <w:numFmt w:val="decimal"/>
      <w:lvlText w:val="%7."/>
      <w:lvlJc w:val="left"/>
      <w:pPr>
        <w:tabs>
          <w:tab w:val="num" w:pos="5040"/>
        </w:tabs>
        <w:ind w:left="5040" w:hanging="360"/>
      </w:pPr>
    </w:lvl>
    <w:lvl w:ilvl="7" w:tplc="345ABF0C" w:tentative="1">
      <w:start w:val="1"/>
      <w:numFmt w:val="lowerLetter"/>
      <w:lvlText w:val="%8."/>
      <w:lvlJc w:val="left"/>
      <w:pPr>
        <w:tabs>
          <w:tab w:val="num" w:pos="5760"/>
        </w:tabs>
        <w:ind w:left="5760" w:hanging="360"/>
      </w:pPr>
    </w:lvl>
    <w:lvl w:ilvl="8" w:tplc="D4ECE6AA" w:tentative="1">
      <w:start w:val="1"/>
      <w:numFmt w:val="lowerRoman"/>
      <w:lvlText w:val="%9."/>
      <w:lvlJc w:val="right"/>
      <w:pPr>
        <w:tabs>
          <w:tab w:val="num" w:pos="6480"/>
        </w:tabs>
        <w:ind w:left="6480" w:hanging="180"/>
      </w:pPr>
    </w:lvl>
  </w:abstractNum>
  <w:num w:numId="1" w16cid:durableId="2146969133">
    <w:abstractNumId w:val="4"/>
  </w:num>
  <w:num w:numId="2" w16cid:durableId="511383165">
    <w:abstractNumId w:val="2"/>
  </w:num>
  <w:num w:numId="3" w16cid:durableId="1824151929">
    <w:abstractNumId w:val="3"/>
  </w:num>
  <w:num w:numId="4" w16cid:durableId="1102605714">
    <w:abstractNumId w:val="0"/>
  </w:num>
  <w:num w:numId="5" w16cid:durableId="213655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38"/>
    <w:rsid w:val="000063FF"/>
    <w:rsid w:val="000206AE"/>
    <w:rsid w:val="00023A88"/>
    <w:rsid w:val="000636E1"/>
    <w:rsid w:val="0008352D"/>
    <w:rsid w:val="000A07CE"/>
    <w:rsid w:val="000A2C92"/>
    <w:rsid w:val="000A7238"/>
    <w:rsid w:val="000B0B21"/>
    <w:rsid w:val="000D08A9"/>
    <w:rsid w:val="000E2F2B"/>
    <w:rsid w:val="000E7875"/>
    <w:rsid w:val="000F3D38"/>
    <w:rsid w:val="00110CBD"/>
    <w:rsid w:val="00123D7D"/>
    <w:rsid w:val="001357B2"/>
    <w:rsid w:val="00151388"/>
    <w:rsid w:val="00151872"/>
    <w:rsid w:val="00160E5F"/>
    <w:rsid w:val="0018239F"/>
    <w:rsid w:val="001A3BA5"/>
    <w:rsid w:val="001E5588"/>
    <w:rsid w:val="001F3B21"/>
    <w:rsid w:val="001F7BC0"/>
    <w:rsid w:val="00202A77"/>
    <w:rsid w:val="00207DC8"/>
    <w:rsid w:val="00232E47"/>
    <w:rsid w:val="0024583F"/>
    <w:rsid w:val="00261D80"/>
    <w:rsid w:val="00261D99"/>
    <w:rsid w:val="00262960"/>
    <w:rsid w:val="00271CE5"/>
    <w:rsid w:val="00282020"/>
    <w:rsid w:val="00282A2F"/>
    <w:rsid w:val="00285890"/>
    <w:rsid w:val="00292B70"/>
    <w:rsid w:val="002934F1"/>
    <w:rsid w:val="00296D93"/>
    <w:rsid w:val="00297F27"/>
    <w:rsid w:val="002A4B44"/>
    <w:rsid w:val="002C7EEB"/>
    <w:rsid w:val="002F1662"/>
    <w:rsid w:val="00304726"/>
    <w:rsid w:val="00315D82"/>
    <w:rsid w:val="00334E2E"/>
    <w:rsid w:val="00352109"/>
    <w:rsid w:val="003636BF"/>
    <w:rsid w:val="00370AA7"/>
    <w:rsid w:val="00371034"/>
    <w:rsid w:val="0037479F"/>
    <w:rsid w:val="00377950"/>
    <w:rsid w:val="003828AD"/>
    <w:rsid w:val="003845B4"/>
    <w:rsid w:val="00387B1A"/>
    <w:rsid w:val="0039148F"/>
    <w:rsid w:val="003B5CF4"/>
    <w:rsid w:val="003C28AA"/>
    <w:rsid w:val="003C3B1D"/>
    <w:rsid w:val="003C4920"/>
    <w:rsid w:val="003D0306"/>
    <w:rsid w:val="003E1C74"/>
    <w:rsid w:val="003E7E9E"/>
    <w:rsid w:val="003F4966"/>
    <w:rsid w:val="004167EF"/>
    <w:rsid w:val="00461314"/>
    <w:rsid w:val="00464335"/>
    <w:rsid w:val="00484A06"/>
    <w:rsid w:val="004A2490"/>
    <w:rsid w:val="004A4233"/>
    <w:rsid w:val="004A6A59"/>
    <w:rsid w:val="004B160E"/>
    <w:rsid w:val="004C48A4"/>
    <w:rsid w:val="004E3584"/>
    <w:rsid w:val="004F561D"/>
    <w:rsid w:val="0050296F"/>
    <w:rsid w:val="005149DF"/>
    <w:rsid w:val="005177DF"/>
    <w:rsid w:val="005254D1"/>
    <w:rsid w:val="00525C18"/>
    <w:rsid w:val="00526246"/>
    <w:rsid w:val="00532C59"/>
    <w:rsid w:val="00541098"/>
    <w:rsid w:val="0055206D"/>
    <w:rsid w:val="00567106"/>
    <w:rsid w:val="005709F2"/>
    <w:rsid w:val="005916E5"/>
    <w:rsid w:val="005B0438"/>
    <w:rsid w:val="005E1D3C"/>
    <w:rsid w:val="00617CD4"/>
    <w:rsid w:val="006268BE"/>
    <w:rsid w:val="00632253"/>
    <w:rsid w:val="0063711D"/>
    <w:rsid w:val="00642714"/>
    <w:rsid w:val="00643C4E"/>
    <w:rsid w:val="006455CE"/>
    <w:rsid w:val="00694B33"/>
    <w:rsid w:val="006C4AE3"/>
    <w:rsid w:val="006D42D9"/>
    <w:rsid w:val="006F142E"/>
    <w:rsid w:val="00726463"/>
    <w:rsid w:val="00733017"/>
    <w:rsid w:val="00751D38"/>
    <w:rsid w:val="00775FED"/>
    <w:rsid w:val="00780335"/>
    <w:rsid w:val="00783310"/>
    <w:rsid w:val="00794B95"/>
    <w:rsid w:val="00794E63"/>
    <w:rsid w:val="007977F6"/>
    <w:rsid w:val="007A4A6D"/>
    <w:rsid w:val="007D05C8"/>
    <w:rsid w:val="007D1BCF"/>
    <w:rsid w:val="007D75CF"/>
    <w:rsid w:val="007E6DC5"/>
    <w:rsid w:val="007E7AA4"/>
    <w:rsid w:val="008078F7"/>
    <w:rsid w:val="00826278"/>
    <w:rsid w:val="00842F66"/>
    <w:rsid w:val="00854697"/>
    <w:rsid w:val="0088043C"/>
    <w:rsid w:val="008906C9"/>
    <w:rsid w:val="008A5918"/>
    <w:rsid w:val="008B2E72"/>
    <w:rsid w:val="008C00F2"/>
    <w:rsid w:val="008C5738"/>
    <w:rsid w:val="008D04F0"/>
    <w:rsid w:val="008E1660"/>
    <w:rsid w:val="008E2D84"/>
    <w:rsid w:val="008F3500"/>
    <w:rsid w:val="009022B3"/>
    <w:rsid w:val="00924E3C"/>
    <w:rsid w:val="00925A8B"/>
    <w:rsid w:val="009612BB"/>
    <w:rsid w:val="00962D75"/>
    <w:rsid w:val="009A011D"/>
    <w:rsid w:val="009B0295"/>
    <w:rsid w:val="009C5340"/>
    <w:rsid w:val="009D6C67"/>
    <w:rsid w:val="009E42F2"/>
    <w:rsid w:val="00A0398D"/>
    <w:rsid w:val="00A05DC7"/>
    <w:rsid w:val="00A125C5"/>
    <w:rsid w:val="00A12D5C"/>
    <w:rsid w:val="00A216AF"/>
    <w:rsid w:val="00A3267F"/>
    <w:rsid w:val="00A36906"/>
    <w:rsid w:val="00A45EAF"/>
    <w:rsid w:val="00A5039D"/>
    <w:rsid w:val="00A65EE7"/>
    <w:rsid w:val="00A70133"/>
    <w:rsid w:val="00A72510"/>
    <w:rsid w:val="00A9407A"/>
    <w:rsid w:val="00AA47FE"/>
    <w:rsid w:val="00AC05DE"/>
    <w:rsid w:val="00AC56FF"/>
    <w:rsid w:val="00AC5C16"/>
    <w:rsid w:val="00AD5A5B"/>
    <w:rsid w:val="00AE1792"/>
    <w:rsid w:val="00AE2D7F"/>
    <w:rsid w:val="00AF1718"/>
    <w:rsid w:val="00B011EA"/>
    <w:rsid w:val="00B038B1"/>
    <w:rsid w:val="00B17141"/>
    <w:rsid w:val="00B31575"/>
    <w:rsid w:val="00B31916"/>
    <w:rsid w:val="00B62CE5"/>
    <w:rsid w:val="00B63BD4"/>
    <w:rsid w:val="00B653A6"/>
    <w:rsid w:val="00B677B6"/>
    <w:rsid w:val="00B72F32"/>
    <w:rsid w:val="00B8547D"/>
    <w:rsid w:val="00BC0927"/>
    <w:rsid w:val="00BC2517"/>
    <w:rsid w:val="00BC61EF"/>
    <w:rsid w:val="00BE423F"/>
    <w:rsid w:val="00BF75C5"/>
    <w:rsid w:val="00C1397D"/>
    <w:rsid w:val="00C13B75"/>
    <w:rsid w:val="00C250D5"/>
    <w:rsid w:val="00C47F8D"/>
    <w:rsid w:val="00C5171C"/>
    <w:rsid w:val="00C52DAE"/>
    <w:rsid w:val="00C57EED"/>
    <w:rsid w:val="00C81391"/>
    <w:rsid w:val="00C87F17"/>
    <w:rsid w:val="00C92898"/>
    <w:rsid w:val="00C97222"/>
    <w:rsid w:val="00CA28CB"/>
    <w:rsid w:val="00CE7514"/>
    <w:rsid w:val="00D231A6"/>
    <w:rsid w:val="00D248DE"/>
    <w:rsid w:val="00D25427"/>
    <w:rsid w:val="00D31B74"/>
    <w:rsid w:val="00D3564D"/>
    <w:rsid w:val="00D63D14"/>
    <w:rsid w:val="00D8542D"/>
    <w:rsid w:val="00DB11E1"/>
    <w:rsid w:val="00DB4E6F"/>
    <w:rsid w:val="00DC0911"/>
    <w:rsid w:val="00DC5DA2"/>
    <w:rsid w:val="00DC62F6"/>
    <w:rsid w:val="00DC6A71"/>
    <w:rsid w:val="00DD6CC3"/>
    <w:rsid w:val="00DE5B46"/>
    <w:rsid w:val="00E0357D"/>
    <w:rsid w:val="00E20A8F"/>
    <w:rsid w:val="00E24EC2"/>
    <w:rsid w:val="00E447E8"/>
    <w:rsid w:val="00E45666"/>
    <w:rsid w:val="00E51C0F"/>
    <w:rsid w:val="00E60F85"/>
    <w:rsid w:val="00E632E0"/>
    <w:rsid w:val="00E8201C"/>
    <w:rsid w:val="00E8404A"/>
    <w:rsid w:val="00E94ECF"/>
    <w:rsid w:val="00EA0E3C"/>
    <w:rsid w:val="00ED00D1"/>
    <w:rsid w:val="00ED27F8"/>
    <w:rsid w:val="00ED7E82"/>
    <w:rsid w:val="00EF0F21"/>
    <w:rsid w:val="00EF3280"/>
    <w:rsid w:val="00EF63CC"/>
    <w:rsid w:val="00F0025B"/>
    <w:rsid w:val="00F02E53"/>
    <w:rsid w:val="00F1126C"/>
    <w:rsid w:val="00F240BB"/>
    <w:rsid w:val="00F25EDE"/>
    <w:rsid w:val="00F42CE8"/>
    <w:rsid w:val="00F46724"/>
    <w:rsid w:val="00F47F58"/>
    <w:rsid w:val="00F57FED"/>
    <w:rsid w:val="00F72FDC"/>
    <w:rsid w:val="00F9241D"/>
    <w:rsid w:val="00F94746"/>
    <w:rsid w:val="00FC3972"/>
    <w:rsid w:val="00FC6885"/>
    <w:rsid w:val="00FD31DE"/>
    <w:rsid w:val="00FD746A"/>
    <w:rsid w:val="00FE6E1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5B1EC9"/>
  <w15:docId w15:val="{5EE8D243-0E36-4C3E-B588-B3615C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9E42F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2F2"/>
    <w:rPr>
      <w:rFonts w:ascii="Tahoma" w:hAnsi="Tahoma" w:cs="Tahoma"/>
      <w:sz w:val="16"/>
      <w:szCs w:val="16"/>
      <w:lang w:val="en-US" w:eastAsia="en-US"/>
    </w:rPr>
  </w:style>
  <w:style w:type="paragraph" w:styleId="Golobesedilo">
    <w:name w:val="Plain Text"/>
    <w:basedOn w:val="Navaden"/>
    <w:link w:val="GolobesediloZnak"/>
    <w:rsid w:val="0055206D"/>
    <w:pPr>
      <w:spacing w:after="120" w:line="240" w:lineRule="auto"/>
      <w:ind w:right="-284"/>
      <w:jc w:val="both"/>
    </w:pPr>
    <w:rPr>
      <w:rFonts w:ascii="Courier New" w:hAnsi="Courier New" w:cs="Arial"/>
      <w:szCs w:val="22"/>
      <w:lang w:val="sl-SI" w:eastAsia="sl-SI"/>
    </w:rPr>
  </w:style>
  <w:style w:type="character" w:customStyle="1" w:styleId="GolobesediloZnak">
    <w:name w:val="Golo besedilo Znak"/>
    <w:basedOn w:val="Privzetapisavaodstavka"/>
    <w:link w:val="Golobesedilo"/>
    <w:rsid w:val="0055206D"/>
    <w:rPr>
      <w:rFonts w:ascii="Courier New" w:hAnsi="Courier New" w:cs="Arial"/>
      <w:szCs w:val="22"/>
    </w:rPr>
  </w:style>
  <w:style w:type="character" w:styleId="Krepko">
    <w:name w:val="Strong"/>
    <w:basedOn w:val="Privzetapisavaodstavka"/>
    <w:uiPriority w:val="22"/>
    <w:qFormat/>
    <w:rsid w:val="00552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PDF/?uri=CELEX:32016R1036&amp;qid=176699009739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gov.si/carina/podrocja/tarifni_ukrepi_in_protidamp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PDF/?uri=OJ:L_202502153&amp;qid=176699028166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SL/TXT/PDF/?uri=CELEX:32016R1037&amp;qid=1766990133996"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Odd.%20za%20financiranje\FURS\Informacijska%20tehnologija\Dokumentni%20sistem\Predloge%20dokumentov\GFU%20D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5129-4493-4762-B20F-94013FFA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 DT1</Template>
  <TotalTime>1</TotalTime>
  <Pages>2</Pages>
  <Words>914</Words>
  <Characters>5216</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 </vt:lpstr>
    </vt:vector>
  </TitlesOfParts>
  <Company>Davčna Uprava RS</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Vranešič</dc:creator>
  <cp:lastModifiedBy>Jani Ponikvar</cp:lastModifiedBy>
  <cp:revision>2</cp:revision>
  <cp:lastPrinted>2010-07-05T10:38:00Z</cp:lastPrinted>
  <dcterms:created xsi:type="dcterms:W3CDTF">2025-12-29T12:28:00Z</dcterms:created>
  <dcterms:modified xsi:type="dcterms:W3CDTF">2025-12-29T12:28:00Z</dcterms:modified>
</cp:coreProperties>
</file>